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bookmarkStart w:id="0" w:name="DocumentFor"/>
      <w:bookmarkEnd w:id="0"/>
      <w:bookmarkStart w:id="1" w:name="Title"/>
      <w:bookmarkEnd w:id="1"/>
      <w:bookmarkStart w:id="2" w:name="_Toc193024528"/>
      <w:r>
        <w:rPr>
          <w:rFonts w:hint="default" w:ascii="Arial" w:hAnsi="Arial" w:cs="Arial"/>
          <w:b/>
          <w:color w:val="auto"/>
          <w:sz w:val="20"/>
          <w:szCs w:val="20"/>
          <w:highlight w:val="none"/>
          <w:lang w:eastAsia="zh-CN"/>
        </w:rPr>
        <w:t xml:space="preserve">3GPP TSG-RAN WG4 Meeting # 98-e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eastAsia="zh-CN"/>
        </w:rPr>
        <w:t>R4-21</w:t>
      </w:r>
      <w:r>
        <w:rPr>
          <w:rFonts w:hint="eastAsia" w:cs="Arial"/>
          <w:b/>
          <w:color w:val="auto"/>
          <w:sz w:val="20"/>
          <w:szCs w:val="20"/>
          <w:highlight w:val="none"/>
          <w:lang w:val="en-US" w:eastAsia="zh-CN"/>
        </w:rPr>
        <w:t>02187</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 xml:space="preserve">Templates for </w:t>
      </w:r>
      <w:r>
        <w:rPr>
          <w:rFonts w:hint="default" w:ascii="Arial" w:hAnsi="Arial" w:cs="Arial"/>
          <w:b w:val="0"/>
          <w:bCs/>
          <w:color w:val="auto"/>
          <w:sz w:val="20"/>
          <w:szCs w:val="20"/>
        </w:rPr>
        <w:t>BCS4 configuration</w:t>
      </w:r>
      <w:r>
        <w:rPr>
          <w:rFonts w:hint="eastAsia" w:eastAsia="宋体" w:cs="Arial"/>
          <w:b w:val="0"/>
          <w:bCs/>
          <w:color w:val="auto"/>
          <w:sz w:val="20"/>
          <w:szCs w:val="20"/>
          <w:lang w:val="en-US" w:eastAsia="zh-CN"/>
        </w:rPr>
        <w:t>s for inter-band NR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default" w:ascii="Arial" w:hAnsi="Arial" w:cs="Arial"/>
          <w:b w:val="0"/>
          <w:bCs/>
          <w:color w:val="auto"/>
          <w:sz w:val="20"/>
          <w:szCs w:val="20"/>
          <w:lang w:val="en-US" w:eastAsia="zh-CN"/>
        </w:rPr>
        <w:t>9.30.</w:t>
      </w:r>
      <w:r>
        <w:rPr>
          <w:rFonts w:hint="eastAsia" w:cs="Arial"/>
          <w:b w:val="0"/>
          <w:bCs/>
          <w:color w:val="auto"/>
          <w:sz w:val="20"/>
          <w:szCs w:val="20"/>
          <w:lang w:val="en-US" w:eastAsia="zh-CN"/>
        </w:rPr>
        <w:t>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In last RAN #90e meeting, a new WID</w:t>
      </w:r>
      <w:r>
        <w:rPr>
          <w:rFonts w:hint="eastAsia" w:ascii="Arial" w:hAnsi="Arial" w:eastAsia="宋体" w:cs="Arial"/>
          <w:i w:val="0"/>
          <w:iCs w:val="0"/>
          <w:color w:val="auto"/>
          <w:sz w:val="20"/>
          <w:szCs w:val="20"/>
          <w:highlight w:val="none"/>
          <w:lang w:val="en-US" w:eastAsia="zh-CN"/>
        </w:rPr>
        <w:t>[1]</w:t>
      </w:r>
      <w:r>
        <w:rPr>
          <w:rFonts w:hint="default" w:ascii="Arial" w:hAnsi="Arial" w:eastAsia="宋体" w:cs="Arial"/>
          <w:i w:val="0"/>
          <w:iCs w:val="0"/>
          <w:color w:val="auto"/>
          <w:sz w:val="20"/>
          <w:szCs w:val="20"/>
          <w:highlight w:val="none"/>
          <w:lang w:val="en-US" w:eastAsia="zh-CN"/>
        </w:rPr>
        <w:t xml:space="preserve"> for BCS4 was agreed, where </w:t>
      </w:r>
      <w:r>
        <w:rPr>
          <w:rFonts w:hint="eastAsia" w:ascii="Arial" w:hAnsi="Arial" w:eastAsia="宋体" w:cs="Arial"/>
          <w:i w:val="0"/>
          <w:iCs w:val="0"/>
          <w:color w:val="auto"/>
          <w:sz w:val="20"/>
          <w:szCs w:val="20"/>
          <w:highlight w:val="none"/>
          <w:lang w:val="en-US" w:eastAsia="zh-CN"/>
        </w:rPr>
        <w:t>some guidelines are included, shown below</w:t>
      </w: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i/>
          <w:iCs/>
          <w:sz w:val="20"/>
          <w:szCs w:val="20"/>
          <w:lang w:eastAsia="ko-KR"/>
        </w:rPr>
      </w:pPr>
      <w:r>
        <w:rPr>
          <w:rFonts w:hint="default" w:ascii="Arial" w:hAnsi="Arial" w:eastAsia="Times New Roman" w:cs="Arial"/>
          <w:bCs/>
          <w:i/>
          <w:iCs/>
          <w:sz w:val="20"/>
          <w:szCs w:val="20"/>
          <w:lang w:eastAsia="en-GB"/>
        </w:rPr>
        <w:t xml:space="preserve">Guideline 1: </w:t>
      </w:r>
      <w:r>
        <w:rPr>
          <w:rFonts w:hint="default" w:ascii="Arial" w:hAnsi="Arial" w:eastAsia="Times New Roman" w:cs="Arial"/>
          <w:i/>
          <w:iCs/>
          <w:sz w:val="20"/>
          <w:szCs w:val="20"/>
          <w:lang w:eastAsia="ko-KR"/>
        </w:rPr>
        <w:t>To ease the concerns of vendors concerned that IoDT will increase with BCS4, RAN4 shall allow new BCSs to be created as requested for band combinations, but BCSs will not be required for new band combinations.</w:t>
      </w: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i/>
          <w:iCs/>
          <w:sz w:val="20"/>
          <w:szCs w:val="20"/>
          <w:lang w:eastAsia="ko-KR"/>
        </w:rPr>
      </w:pP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i/>
          <w:iCs/>
          <w:sz w:val="20"/>
          <w:szCs w:val="20"/>
          <w:lang w:eastAsia="ko-KR"/>
        </w:rPr>
      </w:pPr>
      <w:r>
        <w:rPr>
          <w:rFonts w:hint="default" w:ascii="Arial" w:hAnsi="Arial" w:eastAsia="Times New Roman" w:cs="Arial"/>
          <w:bCs/>
          <w:i/>
          <w:iCs/>
          <w:sz w:val="20"/>
          <w:szCs w:val="20"/>
          <w:lang w:eastAsia="en-GB"/>
        </w:rPr>
        <w:t>Guideline 2: Future band combinations may include BCSs, but they will not be required to have any other than BCS4.</w:t>
      </w:r>
    </w:p>
    <w:p>
      <w:pPr>
        <w:keepNext/>
        <w:pageBreakBefore w:val="0"/>
        <w:kinsoku/>
        <w:wordWrap/>
        <w:overflowPunct/>
        <w:topLinePunct w:val="0"/>
        <w:autoSpaceDE/>
        <w:autoSpaceDN/>
        <w:bidi w:val="0"/>
        <w:adjustRightInd/>
        <w:snapToGrid/>
        <w:contextualSpacing/>
        <w:textAlignment w:val="auto"/>
        <w:rPr>
          <w:rFonts w:hint="default" w:ascii="Arial" w:hAnsi="Arial" w:eastAsia="Times New Roman" w:cs="Arial"/>
          <w:bCs/>
          <w:i/>
          <w:iCs/>
          <w:sz w:val="20"/>
          <w:szCs w:val="20"/>
          <w:lang w:eastAsia="en-GB"/>
        </w:rPr>
      </w:pP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bCs/>
          <w:i/>
          <w:iCs/>
          <w:sz w:val="20"/>
          <w:szCs w:val="20"/>
          <w:lang w:eastAsia="en-GB"/>
        </w:rPr>
      </w:pPr>
      <w:r>
        <w:rPr>
          <w:rFonts w:hint="default" w:ascii="Arial" w:hAnsi="Arial" w:eastAsia="Times New Roman" w:cs="Arial"/>
          <w:bCs/>
          <w:i/>
          <w:iCs/>
          <w:sz w:val="20"/>
          <w:szCs w:val="20"/>
          <w:lang w:eastAsia="en-GB"/>
        </w:rPr>
        <w:t>Guideline 3: In order to ensure that MSD analysis is complete for BCS4 for SUL and NR CA band combinations that have already been requested but CRs have not yet been agreed by RAN4, the TPs and draft CRs and CRs with those band combinations shall include MSD analysis for all channel bandwidths for each band in the band combination.</w:t>
      </w:r>
      <w:r>
        <w:rPr>
          <w:rFonts w:hint="default" w:ascii="Arial" w:hAnsi="Arial" w:eastAsia="Times New Roman" w:cs="Arial"/>
          <w:bCs/>
          <w:i/>
          <w:iCs/>
          <w:sz w:val="20"/>
          <w:szCs w:val="20"/>
          <w:lang w:eastAsia="en-GB"/>
        </w:rPr>
        <w:br w:type="textWrapping"/>
      </w: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bCs/>
          <w:i/>
          <w:iCs/>
          <w:sz w:val="20"/>
          <w:szCs w:val="20"/>
          <w:lang w:eastAsia="en-GB"/>
        </w:rPr>
      </w:pPr>
      <w:r>
        <w:rPr>
          <w:rFonts w:hint="default" w:ascii="Arial" w:hAnsi="Arial" w:eastAsia="Times New Roman" w:cs="Arial"/>
          <w:bCs/>
          <w:i/>
          <w:iCs/>
          <w:sz w:val="20"/>
          <w:szCs w:val="20"/>
          <w:lang w:eastAsia="en-GB"/>
        </w:rPr>
        <w:t>Guideline 4: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exceptional case of inconsistent information between the basket WID and the TPs/draft CRs is acceptable until the WID is fixed accordingly.</w:t>
      </w:r>
      <w:r>
        <w:rPr>
          <w:rFonts w:hint="default" w:ascii="Arial" w:hAnsi="Arial" w:eastAsia="Times New Roman" w:cs="Arial"/>
          <w:bCs/>
          <w:i/>
          <w:iCs/>
          <w:sz w:val="20"/>
          <w:szCs w:val="20"/>
          <w:lang w:eastAsia="en-GB"/>
        </w:rPr>
        <w:br w:type="textWrapping"/>
      </w: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i/>
          <w:iCs/>
          <w:sz w:val="20"/>
          <w:szCs w:val="20"/>
          <w:lang w:val="en-US" w:eastAsia="zh-CN"/>
        </w:rPr>
      </w:pPr>
      <w:r>
        <w:rPr>
          <w:rFonts w:hint="default" w:ascii="Arial" w:hAnsi="Arial" w:eastAsia="Times New Roman" w:cs="Arial"/>
          <w:bCs/>
          <w:i/>
          <w:iCs/>
          <w:sz w:val="20"/>
          <w:szCs w:val="20"/>
          <w:lang w:eastAsia="en-GB"/>
        </w:rPr>
        <w:t>Guideline</w:t>
      </w:r>
      <w:r>
        <w:rPr>
          <w:rFonts w:hint="default" w:ascii="Arial" w:hAnsi="Arial" w:eastAsia="Times New Roman" w:cs="Arial"/>
          <w:i/>
          <w:iCs/>
          <w:sz w:val="20"/>
          <w:szCs w:val="20"/>
          <w:lang w:eastAsia="en-GB"/>
        </w:rPr>
        <w:t xml:space="preserve"> 5: BCS4 CRs should be </w:t>
      </w:r>
      <w:r>
        <w:rPr>
          <w:rFonts w:hint="default" w:ascii="Arial" w:hAnsi="Arial" w:eastAsia="Times New Roman" w:cs="Arial"/>
          <w:i/>
          <w:iCs/>
          <w:sz w:val="20"/>
          <w:szCs w:val="20"/>
          <w:lang w:val="en-US" w:eastAsia="zh-CN"/>
        </w:rPr>
        <w:t>allowed to be introduced before all the MSD analysis is completed</w:t>
      </w:r>
      <w:r>
        <w:rPr>
          <w:rFonts w:hint="default" w:ascii="Arial" w:hAnsi="Arial" w:eastAsia="Times New Roman" w:cs="Arial"/>
          <w:i/>
          <w:iCs/>
          <w:sz w:val="20"/>
          <w:szCs w:val="20"/>
          <w:lang w:eastAsia="en-GB"/>
        </w:rPr>
        <w:t xml:space="preserve"> to avoid the situation where traditional BCSs are still required. All MSD analysis should be completed by the end of Rel-17. To facilitate the adoption of BCS4 prior to the completion of MSD analysis, MSD for missing channel BWs in existing band combinations shall be listed as infinity until the MSD analysis is complete</w:t>
      </w:r>
      <w:r>
        <w:rPr>
          <w:rFonts w:hint="default" w:ascii="Arial" w:hAnsi="Arial" w:eastAsia="Times New Roman" w:cs="Arial"/>
          <w:i/>
          <w:iCs/>
          <w:sz w:val="20"/>
          <w:szCs w:val="20"/>
          <w:lang w:val="en-US" w:eastAsia="zh-CN"/>
        </w:rPr>
        <w:t>. These infinite MSD’s are only placeholders which will be clarified in a note saying so in the initial CR.</w:t>
      </w:r>
    </w:p>
    <w:p>
      <w:pPr>
        <w:keepNext/>
        <w:pageBreakBefore w:val="0"/>
        <w:kinsoku/>
        <w:wordWrap/>
        <w:overflowPunct/>
        <w:topLinePunct w:val="0"/>
        <w:autoSpaceDE/>
        <w:autoSpaceDN/>
        <w:bidi w:val="0"/>
        <w:adjustRightInd/>
        <w:snapToGrid/>
        <w:ind w:left="285"/>
        <w:contextualSpacing/>
        <w:textAlignment w:val="auto"/>
        <w:rPr>
          <w:rFonts w:hint="default" w:ascii="Arial" w:hAnsi="Arial" w:eastAsia="Times New Roman" w:cs="Arial"/>
          <w:i/>
          <w:iCs/>
          <w:sz w:val="20"/>
          <w:szCs w:val="20"/>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firstLine="200" w:firstLineChars="10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Times New Roman" w:cs="Arial"/>
          <w:bCs/>
          <w:i/>
          <w:iCs/>
          <w:sz w:val="20"/>
          <w:szCs w:val="20"/>
          <w:lang w:eastAsia="en-GB"/>
        </w:rPr>
        <w:t>Guideline 6: BCS4 doesn’t change anything with regard to mandatory or optional channel BWs.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rPr>
          <w:rFonts w:hint="eastAsia" w:ascii="Arial" w:hAnsi="Arial" w:eastAsia="宋体" w:cs="Arial"/>
          <w:i w:val="0"/>
          <w:iCs w:val="0"/>
          <w:color w:val="auto"/>
          <w:sz w:val="20"/>
          <w:szCs w:val="20"/>
          <w:highlight w:val="none"/>
          <w:lang w:val="en-US" w:eastAsia="zh-CN"/>
        </w:rPr>
        <w:t xml:space="preserve">As discussed in past RAN4 meeting, BCS4 is agreed to introduced although there are some issues such as signallings. Also, in last RAN plenary meeting, the relation of BCS4 to basket WIs have been discussed. Consequently, the above guidelines were agreed.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eastAsia" w:ascii="Arial" w:hAnsi="Arial" w:eastAsia="宋体" w:cs="Arial"/>
          <w:i w:val="0"/>
          <w:iCs w:val="0"/>
          <w:color w:val="auto"/>
          <w:sz w:val="20"/>
          <w:szCs w:val="20"/>
          <w:highlight w:val="none"/>
          <w:lang w:val="en-US" w:eastAsia="zh-CN"/>
        </w:rPr>
        <w:t>However, since BCS4 is a new method to handle the band combinations, therefore how to request or draft TPs/draft CRs for CA/SUL band combinations with BCS4 are still not clear, and also how to implement the TPs/draft CRs in the rapporteur big CRs are also unclear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18"/>
          <w:szCs w:val="18"/>
          <w:highlight w:val="none"/>
          <w:lang w:val="en-US" w:eastAsia="zh-CN"/>
        </w:rPr>
      </w:pPr>
      <w:r>
        <w:rPr>
          <w:rFonts w:hint="eastAsia" w:ascii="Arial" w:hAnsi="Arial" w:cs="Arial"/>
          <w:b w:val="0"/>
          <w:bCs/>
          <w:color w:val="auto"/>
          <w:sz w:val="20"/>
          <w:szCs w:val="20"/>
          <w:lang w:val="en-US" w:eastAsia="zh-CN"/>
        </w:rPr>
        <w:t xml:space="preserve">In this contributions, we try to give some templates on the </w:t>
      </w:r>
      <w:r>
        <w:rPr>
          <w:rFonts w:hint="default" w:ascii="Arial" w:hAnsi="Arial" w:cs="Arial"/>
          <w:b w:val="0"/>
          <w:bCs/>
          <w:color w:val="auto"/>
          <w:sz w:val="20"/>
          <w:szCs w:val="20"/>
        </w:rPr>
        <w:t xml:space="preserve">configuration </w:t>
      </w:r>
      <w:r>
        <w:rPr>
          <w:rFonts w:hint="eastAsia" w:ascii="Arial" w:hAnsi="Arial" w:cs="Arial"/>
          <w:b w:val="0"/>
          <w:bCs/>
          <w:color w:val="auto"/>
          <w:sz w:val="20"/>
          <w:szCs w:val="20"/>
          <w:lang w:val="en-US" w:eastAsia="zh-CN"/>
        </w:rPr>
        <w:t xml:space="preserve">table for </w:t>
      </w:r>
      <w:r>
        <w:rPr>
          <w:rFonts w:hint="default" w:ascii="Arial" w:hAnsi="Arial" w:cs="Arial"/>
          <w:b w:val="0"/>
          <w:bCs/>
          <w:color w:val="auto"/>
          <w:sz w:val="20"/>
          <w:szCs w:val="20"/>
        </w:rPr>
        <w:t>BCS4</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rPr>
        <w:t>band combination</w:t>
      </w:r>
      <w:r>
        <w:rPr>
          <w:rFonts w:hint="eastAsia" w:ascii="Arial" w:hAnsi="Arial" w:cs="Arial"/>
          <w:b w:val="0"/>
          <w:bCs/>
          <w:color w:val="auto"/>
          <w:sz w:val="20"/>
          <w:szCs w:val="20"/>
          <w:lang w:val="en-US" w:eastAsia="zh-CN"/>
        </w:rPr>
        <w:t xml:space="preserve"> for inter-band NR CA.</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Firstly, let us quick review the current procedures/format using the traditional BCS. Here we focus on inter-band NR CA, for the other WIDs such as SUL band combination, it seems similar approach could be used.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Step 1: Proponent sent the request EXCEL file for their interesting band combination before the meeting, where BCS0/1/2/3 associated the supported channel bandwidths are included. Each rapporteur revise their WIDs to include all the band combination requested by proponents.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Step 2: Proponents bring the TPs/draft CRs for their requested combinations after the rapporteur WIDs are approved in RAN-P meeting, then each rapporteur do their rapporteur big CR to implement all the approved TPs and endorsed draft CRs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step 1, different BCS are used if the channel bandwidths are different for the bands supported in the same band combination, also the it should mark </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Yes</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 to indicate the supported channel bandwidth for each band.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In the case of other proponents add new channel bandwidths for the same band combination, the they will request it again.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In step 2, the information of configurations in TPs and draft CRs are aligned with the revised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However, for BCS4, we think it is possible to simply the procedures/format for BCS4 band combinations considering it supports any channel bandwidths of a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iCs/>
          <w:color w:val="auto"/>
          <w:sz w:val="20"/>
          <w:szCs w:val="20"/>
          <w:highlight w:val="none"/>
          <w:u w:val="single"/>
          <w:lang w:val="en-US" w:eastAsia="zh-CN"/>
        </w:rPr>
      </w:pPr>
      <w:r>
        <w:rPr>
          <w:rFonts w:hint="eastAsia" w:ascii="Arial" w:hAnsi="Arial" w:eastAsia="宋体" w:cs="Arial"/>
          <w:b/>
          <w:bCs/>
          <w:i/>
          <w:iCs/>
          <w:color w:val="auto"/>
          <w:sz w:val="20"/>
          <w:szCs w:val="20"/>
          <w:highlight w:val="none"/>
          <w:u w:val="single"/>
          <w:lang w:val="en-US" w:eastAsia="zh-CN"/>
        </w:rPr>
        <w:t>Request combinations for BCS4</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Although there are no BCS4 combinations requested so far, we believe proponents will prefer to use BCS4 to request their band combination configurations after BCS4 is introduced in the spec.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the following tables, we take FR-FR1 CA_nXA-nYA and CA_nXA-nYC as example to propose the formats for BCS4 by comparing the formats for current BCS0/1/2. </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1-1: General information for CA_nXA-nYA and CA_nXA-nYC using traditional BCS</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B</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C</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E</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1-2: Supported channel bandwidth information for CA_nXA-nYA and CA_nXA-nYC using traditional BCS</w:t>
      </w:r>
    </w:p>
    <w:tbl>
      <w:tblPr>
        <w:tblStyle w:val="76"/>
        <w:tblW w:w="5259"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5"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Refer to 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 xml:space="preserve">C Bandwidth combination set </w:t>
            </w:r>
            <w:r>
              <w:rPr>
                <w:rFonts w:hint="eastAsia" w:ascii="Arial" w:hAnsi="Arial" w:eastAsia="宋体" w:cs="Arial"/>
                <w:i w:val="0"/>
                <w:color w:val="000000"/>
                <w:kern w:val="0"/>
                <w:sz w:val="18"/>
                <w:szCs w:val="18"/>
                <w:u w:val="none"/>
                <w:lang w:val="en-US" w:eastAsia="zh-CN" w:bidi="ar"/>
              </w:rPr>
              <w:t>0</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nY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Refer to 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 xml:space="preserve">C Bandwidth combination set </w:t>
            </w:r>
            <w:r>
              <w:rPr>
                <w:rFonts w:hint="eastAsia" w:ascii="Arial" w:hAnsi="Arial" w:eastAsia="宋体" w:cs="Arial"/>
                <w:i w:val="0"/>
                <w:color w:val="000000"/>
                <w:kern w:val="0"/>
                <w:sz w:val="18"/>
                <w:szCs w:val="18"/>
                <w:u w:val="none"/>
                <w:lang w:val="en-US" w:eastAsia="zh-CN" w:bidi="ar"/>
              </w:rPr>
              <w:t>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1-3: General information for CA_nXA-nYA and CA_nXA-nYC using BCS4</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1-4: Supported channel bandwidth information for CA_nXA-nYA and CA_nXA-nYC using BCS4</w:t>
      </w:r>
    </w:p>
    <w:tbl>
      <w:tblPr>
        <w:tblStyle w:val="76"/>
        <w:tblW w:w="5259"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20"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The channel bandwidths are defined in Table 5.5A.1-1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color w:val="000000"/>
          <w:kern w:val="0"/>
          <w:sz w:val="18"/>
          <w:szCs w:val="18"/>
          <w:u w:val="none"/>
          <w:lang w:val="en-US" w:eastAsia="zh-CN" w:bidi="ar"/>
        </w:rPr>
      </w:pPr>
      <w:r>
        <w:rPr>
          <w:rFonts w:hint="eastAsia" w:ascii="Arial" w:hAnsi="Arial" w:eastAsia="宋体" w:cs="Arial"/>
          <w:b w:val="0"/>
          <w:bCs w:val="0"/>
          <w:color w:val="auto"/>
          <w:sz w:val="20"/>
          <w:szCs w:val="20"/>
          <w:highlight w:val="none"/>
          <w:lang w:val="en-US" w:eastAsia="zh-CN"/>
        </w:rPr>
        <w:t>Where the Table 5.3.5-1 and Table 5.5A.1-1 are the tables in TS38.101-1.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color w:val="000000"/>
          <w:kern w:val="0"/>
          <w:sz w:val="20"/>
          <w:szCs w:val="20"/>
          <w:u w:val="none"/>
          <w:lang w:val="en-US" w:eastAsia="zh-CN" w:bidi="ar"/>
        </w:rPr>
      </w:pPr>
      <w:r>
        <w:rPr>
          <w:rFonts w:hint="eastAsia" w:ascii="Arial" w:hAnsi="Arial" w:eastAsia="宋体" w:cs="Arial"/>
          <w:b w:val="0"/>
          <w:bCs w:val="0"/>
          <w:color w:val="auto"/>
          <w:sz w:val="20"/>
          <w:szCs w:val="20"/>
          <w:highlight w:val="none"/>
          <w:lang w:val="en-US" w:eastAsia="zh-CN"/>
        </w:rPr>
        <w:t xml:space="preserve">It can be seen that by using the templates proposed in Table 1-3 and Table 1-4, it is no need to request the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YC by different companies in different meetings due to different supported channel bandwidths since the all possible channel bandwidth are supported for a band, it can not only save the time, but also reduce the meeting workload.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Similarly, for 3DL inter-band NR CA, the templates are proposed in Table 1-5 and Table 1-6.</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Table 1-5: General information for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YA-nZA</w:t>
      </w:r>
      <w:r>
        <w:rPr>
          <w:rFonts w:hint="eastAsia" w:ascii="Arial" w:hAnsi="Arial" w:eastAsia="宋体" w:cs="Arial"/>
          <w:b w:val="0"/>
          <w:bCs w:val="0"/>
          <w:color w:val="auto"/>
          <w:sz w:val="20"/>
          <w:szCs w:val="20"/>
          <w:highlight w:val="none"/>
          <w:lang w:val="en-US" w:eastAsia="zh-CN"/>
        </w:rPr>
        <w:t xml:space="preserve"> and CA_nXA-nYC</w:t>
      </w:r>
      <w:r>
        <w:rPr>
          <w:rFonts w:hint="eastAsia" w:ascii="Arial" w:hAnsi="Arial" w:eastAsia="宋体" w:cs="Arial"/>
          <w:i w:val="0"/>
          <w:color w:val="000000"/>
          <w:kern w:val="0"/>
          <w:sz w:val="20"/>
          <w:szCs w:val="20"/>
          <w:u w:val="none"/>
          <w:lang w:val="en-US" w:eastAsia="zh-CN" w:bidi="ar"/>
        </w:rPr>
        <w:t>-nZA u</w:t>
      </w:r>
      <w:r>
        <w:rPr>
          <w:rFonts w:hint="eastAsia" w:ascii="Arial" w:hAnsi="Arial" w:eastAsia="宋体" w:cs="Arial"/>
          <w:b w:val="0"/>
          <w:bCs w:val="0"/>
          <w:color w:val="auto"/>
          <w:sz w:val="20"/>
          <w:szCs w:val="20"/>
          <w:highlight w:val="none"/>
          <w:lang w:val="en-US" w:eastAsia="zh-CN"/>
        </w:rPr>
        <w:t>sing BCS4</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YA-nZA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YC-nZA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Table 1-6: Supported channel bandwidth information for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YA-nZA</w:t>
      </w:r>
      <w:r>
        <w:rPr>
          <w:rFonts w:hint="eastAsia" w:ascii="Arial" w:hAnsi="Arial" w:eastAsia="宋体" w:cs="Arial"/>
          <w:b w:val="0"/>
          <w:bCs w:val="0"/>
          <w:color w:val="auto"/>
          <w:sz w:val="20"/>
          <w:szCs w:val="20"/>
          <w:highlight w:val="none"/>
          <w:lang w:val="en-US" w:eastAsia="zh-CN"/>
        </w:rPr>
        <w:t xml:space="preserve"> and CA_nXA-nYC</w:t>
      </w:r>
      <w:r>
        <w:rPr>
          <w:rFonts w:hint="eastAsia" w:ascii="Arial" w:hAnsi="Arial" w:eastAsia="宋体" w:cs="Arial"/>
          <w:i w:val="0"/>
          <w:color w:val="000000"/>
          <w:kern w:val="0"/>
          <w:sz w:val="20"/>
          <w:szCs w:val="20"/>
          <w:u w:val="none"/>
          <w:lang w:val="en-US" w:eastAsia="zh-CN" w:bidi="ar"/>
        </w:rPr>
        <w:t>-nZA</w:t>
      </w:r>
      <w:r>
        <w:rPr>
          <w:rFonts w:hint="eastAsia" w:ascii="Arial" w:hAnsi="Arial" w:eastAsia="宋体" w:cs="Arial"/>
          <w:b w:val="0"/>
          <w:bCs w:val="0"/>
          <w:color w:val="auto"/>
          <w:sz w:val="20"/>
          <w:szCs w:val="20"/>
          <w:highlight w:val="none"/>
          <w:lang w:val="en-US" w:eastAsia="zh-CN"/>
        </w:rPr>
        <w:t xml:space="preserve"> using BCS4</w:t>
      </w:r>
    </w:p>
    <w:tbl>
      <w:tblPr>
        <w:tblStyle w:val="76"/>
        <w:tblW w:w="5260"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20"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YA-nZA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Z</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YC-nZA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The channel bandwidths are defined in Table 5.5A.1-1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Z</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i w:val="0"/>
          <w:i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 xml:space="preserve">Proposal 1. Using the templates in Table 1-3 and Table 1-4, Table 1-5 and Table 1-6 for xUL/2DL and 1UL/3DL&amp;/2UL/3DL NR CA/DC BCS4 band combination configurations requesting, respectively.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It shall be noted that whether using traditional BCSs or BCS4 are depending on the proponents according to the WID. Also SCS column is kept since it is existed in the original table in the EXCEL and it should be kept for the previous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iCs/>
          <w:color w:val="auto"/>
          <w:sz w:val="20"/>
          <w:szCs w:val="20"/>
          <w:highlight w:val="none"/>
          <w:u w:val="single"/>
          <w:lang w:val="en-US" w:eastAsia="zh-CN"/>
        </w:rPr>
        <w:t>TP for BCS4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Here we only focus on the draft TP and CRs in basket WID agenda. The TP/CRs to add MSD in BCS4 WID agenda are not mentioned here.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Generally, similar with traditional BCS method, the information of configurations in TPs and draft CRs are aligned with the revised WID. However, there may exist three cases: (We also use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 as example</w:t>
      </w:r>
      <w:r>
        <w:rPr>
          <w:rFonts w:hint="eastAsia" w:ascii="Arial" w:hAnsi="Arial" w:eastAsia="宋体" w:cs="Arial"/>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1: Only BCS0/1/2/3 is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2: Only BCS4 is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3: Both BCS0/1/2/3 and BCS4 are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For Case 1, companies bring the TP or draft CRs according to the guideline 4 in the WID. In this case, combination with BCS4 are also allowed in the TP or draft CRs although BCS4 are not existed in the WID, i.e. either BCS0/1/2/3 or BCS4 is fine.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For Case 2, we believe only BCS4 for the combinations be included in companies</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 TP or draft CR.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For Case 3, companies may bring draft TP and CRs for both BCS0/1/2/3 and BCS4 in same/different meetings. But we think there is no need to bring TP and draft CRs for BCS0/1/2/3 since BCS4 is enough and it can be seen as super-set for BCS0/1/2/3, which means BCS4 can be cover all the information of BCS0/1/2/3. When the BCS4 combinations TP/draft CR are approved, then the BCS0/1/2/3 combinations are completed by default.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2. For the same band combination, in case of both BCS0/1/2/3 and BCS4 are existed in the WID, TP and draft CRs for BCS4 is enough, and BCS0/1/2/3 combinations are completed by default after BCS4 combinations TP/draft CR are approved.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highlight w:val="none"/>
          <w:lang w:val="en-US" w:eastAsia="zh-CN"/>
        </w:rPr>
      </w:pPr>
      <w:r>
        <w:rPr>
          <w:rFonts w:hint="eastAsia" w:ascii="Arial" w:hAnsi="Arial" w:eastAsia="宋体" w:cs="Arial"/>
          <w:b w:val="0"/>
          <w:bCs w:val="0"/>
          <w:i w:val="0"/>
          <w:iCs w:val="0"/>
          <w:color w:val="auto"/>
          <w:sz w:val="20"/>
          <w:szCs w:val="20"/>
          <w:highlight w:val="none"/>
          <w:lang w:val="en-US" w:eastAsia="zh-CN"/>
        </w:rPr>
        <w:t xml:space="preserve">So in order to avoid the overlapping work, it is important to </w:t>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fldChar w:fldCharType="begin"/>
      </w:r>
      <w:r>
        <w:rPr>
          <w:rFonts w:hint="eastAsia" w:ascii="Arial" w:hAnsi="Arial" w:eastAsia="宋体" w:cs="Arial"/>
          <w:b w:val="0"/>
          <w:bCs w:val="0"/>
          <w:i w:val="0"/>
          <w:iCs w:val="0"/>
          <w:color w:val="auto"/>
          <w:sz w:val="20"/>
          <w:szCs w:val="20"/>
          <w:highlight w:val="none"/>
          <w:lang w:val="en-US" w:eastAsia="zh-CN"/>
        </w:rPr>
        <w:instrText xml:space="preserve"> HYPERLINK "C:/Users/10090160/AppData/Local/youdao/dict/Application/8.5.1.0/resultui/html/index.html" \l "/javascript:;" </w:instrText>
      </w:r>
      <w:r>
        <w:rPr>
          <w:rFonts w:hint="eastAsia" w:ascii="Arial" w:hAnsi="Arial" w:eastAsia="宋体" w:cs="Arial"/>
          <w:b w:val="0"/>
          <w:bCs w:val="0"/>
          <w:i w:val="0"/>
          <w:iCs w:val="0"/>
          <w:color w:val="auto"/>
          <w:sz w:val="20"/>
          <w:szCs w:val="20"/>
          <w:highlight w:val="none"/>
          <w:lang w:val="en-US" w:eastAsia="zh-CN"/>
        </w:rPr>
        <w:fldChar w:fldCharType="separate"/>
      </w:r>
      <w:r>
        <w:rPr>
          <w:rFonts w:hint="default" w:ascii="Arial" w:hAnsi="Arial" w:eastAsia="宋体" w:cs="Arial"/>
          <w:b w:val="0"/>
          <w:bCs w:val="0"/>
          <w:i w:val="0"/>
          <w:iCs w:val="0"/>
          <w:color w:val="auto"/>
          <w:sz w:val="20"/>
          <w:szCs w:val="20"/>
          <w:highlight w:val="none"/>
          <w:lang w:val="en-US" w:eastAsia="zh-CN"/>
        </w:rPr>
        <w:t>negotiate</w:t>
      </w:r>
      <w:r>
        <w:rPr>
          <w:rFonts w:hint="default" w:ascii="Arial" w:hAnsi="Arial" w:eastAsia="宋体" w:cs="Arial"/>
          <w:b w:val="0"/>
          <w:bCs w:val="0"/>
          <w:i w:val="0"/>
          <w:iCs w:val="0"/>
          <w:color w:val="auto"/>
          <w:sz w:val="20"/>
          <w:szCs w:val="20"/>
          <w:highlight w:val="none"/>
          <w:lang w:val="en-US" w:eastAsia="zh-CN"/>
        </w:rPr>
        <w:fldChar w:fldCharType="end"/>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t xml:space="preserve"> who will volunteer to do the work before the meeting. Also the BCS4 should cover the MSD values for all the possible channel bandwidths.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For the channel bandwidth information section, the template proposed in Table 1-4 and Table 1-6 can be applied.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iCs/>
          <w:color w:val="auto"/>
          <w:sz w:val="20"/>
          <w:szCs w:val="20"/>
          <w:highlight w:val="none"/>
          <w:u w:val="single"/>
          <w:lang w:val="en-US" w:eastAsia="zh-CN"/>
        </w:rPr>
        <w:t>Draft CR/Rapporteur CR for BCS4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One of the issue is whether it is needed to included the BCS4 configurations in configurations tables in the 38.101-1 (clause 5.5A.3.1) and TS38.101-3(clause 5.5A.1).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b w:val="0"/>
          <w:bCs w:val="0"/>
          <w:i w:val="0"/>
          <w:iCs w:val="0"/>
          <w:color w:val="auto"/>
          <w:sz w:val="20"/>
          <w:szCs w:val="20"/>
          <w:highlight w:val="none"/>
          <w:lang w:val="en-US" w:eastAsia="zh-CN"/>
        </w:rPr>
        <w:t xml:space="preserve">In last meeting, some companies think it is no need to include. However, if the BCS4 </w:t>
      </w:r>
      <w:r>
        <w:rPr>
          <w:rFonts w:hint="eastAsia" w:ascii="Arial" w:hAnsi="Arial" w:eastAsia="宋体" w:cs="Arial"/>
          <w:i w:val="0"/>
          <w:iCs w:val="0"/>
          <w:color w:val="auto"/>
          <w:sz w:val="20"/>
          <w:szCs w:val="20"/>
          <w:highlight w:val="none"/>
          <w:lang w:val="en-US" w:eastAsia="zh-CN" w:bidi="ar-SA"/>
        </w:rPr>
        <w:t xml:space="preserve">configurations are not included in configurations tables, we will not know </w:t>
      </w:r>
      <w:r>
        <w:rPr>
          <w:rFonts w:hint="eastAsia" w:ascii="Arial" w:hAnsi="Arial" w:eastAsia="宋体" w:cs="Arial"/>
          <w:b w:val="0"/>
          <w:i w:val="0"/>
          <w:caps w:val="0"/>
          <w:color w:val="auto"/>
          <w:spacing w:val="0"/>
          <w:sz w:val="20"/>
          <w:szCs w:val="20"/>
          <w:highlight w:val="none"/>
          <w:shd w:val="clear"/>
          <w:lang w:val="en-US" w:eastAsia="zh-CN"/>
        </w:rPr>
        <w:t xml:space="preserve">which configurations are BCS4 in the spec, and also companies may not know whether or not </w:t>
      </w:r>
      <w:r>
        <w:rPr>
          <w:rFonts w:hint="default" w:ascii="Arial" w:hAnsi="Arial" w:eastAsia="宋体" w:cs="Arial"/>
          <w:b w:val="0"/>
          <w:i w:val="0"/>
          <w:caps w:val="0"/>
          <w:color w:val="auto"/>
          <w:spacing w:val="0"/>
          <w:sz w:val="20"/>
          <w:szCs w:val="20"/>
          <w:highlight w:val="none"/>
          <w:shd w:val="clear"/>
          <w:lang w:val="en-US" w:eastAsia="zh-CN"/>
        </w:rPr>
        <w:t>their BCS4 combinations</w:t>
      </w:r>
      <w:r>
        <w:rPr>
          <w:rFonts w:hint="eastAsia" w:ascii="Arial" w:hAnsi="Arial" w:eastAsia="宋体" w:cs="Arial"/>
          <w:b w:val="0"/>
          <w:i w:val="0"/>
          <w:caps w:val="0"/>
          <w:color w:val="auto"/>
          <w:spacing w:val="0"/>
          <w:sz w:val="20"/>
          <w:szCs w:val="20"/>
          <w:highlight w:val="none"/>
          <w:shd w:val="clear"/>
          <w:lang w:val="en-US" w:eastAsia="zh-CN"/>
        </w:rPr>
        <w:t xml:space="preserve"> are rightly implemented and they may comment why. To avoid the possible confusion and  duplicated work, we still think it is needed to include </w:t>
      </w:r>
      <w:r>
        <w:rPr>
          <w:rFonts w:hint="eastAsia" w:ascii="Arial" w:hAnsi="Arial" w:eastAsia="宋体" w:cs="Arial"/>
          <w:b w:val="0"/>
          <w:bCs w:val="0"/>
          <w:i w:val="0"/>
          <w:iCs w:val="0"/>
          <w:color w:val="auto"/>
          <w:sz w:val="20"/>
          <w:szCs w:val="20"/>
          <w:highlight w:val="none"/>
          <w:lang w:val="en-US" w:eastAsia="zh-CN"/>
        </w:rPr>
        <w:t xml:space="preserve">BCS4 </w:t>
      </w:r>
      <w:r>
        <w:rPr>
          <w:rFonts w:hint="eastAsia" w:ascii="Arial" w:hAnsi="Arial" w:eastAsia="宋体" w:cs="Arial"/>
          <w:i w:val="0"/>
          <w:iCs w:val="0"/>
          <w:color w:val="auto"/>
          <w:sz w:val="20"/>
          <w:szCs w:val="20"/>
          <w:highlight w:val="none"/>
          <w:lang w:val="en-US" w:eastAsia="zh-CN" w:bidi="ar-SA"/>
        </w:rPr>
        <w:t>configurations in configurations tables in the 38.101-1 (clause 5.5A.3.1) and TS38.101-3(clause 5.5A.1). The templates in Table 1-4 and Table 1-6 without SCS column can be applied  to fit the format in the specification.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3. I</w:t>
      </w:r>
      <w:r>
        <w:rPr>
          <w:rFonts w:hint="eastAsia" w:ascii="Arial" w:hAnsi="Arial" w:eastAsia="宋体" w:cs="Arial"/>
          <w:b/>
          <w:bCs/>
          <w:i w:val="0"/>
          <w:caps w:val="0"/>
          <w:color w:val="auto"/>
          <w:spacing w:val="0"/>
          <w:sz w:val="20"/>
          <w:szCs w:val="20"/>
          <w:highlight w:val="none"/>
          <w:shd w:val="clear"/>
          <w:lang w:val="en-US" w:eastAsia="zh-CN"/>
        </w:rPr>
        <w:t xml:space="preserve">t is needed to include </w:t>
      </w:r>
      <w:r>
        <w:rPr>
          <w:rFonts w:hint="eastAsia" w:ascii="Arial" w:hAnsi="Arial" w:eastAsia="宋体" w:cs="Arial"/>
          <w:b/>
          <w:bCs/>
          <w:i w:val="0"/>
          <w:iCs w:val="0"/>
          <w:color w:val="auto"/>
          <w:sz w:val="20"/>
          <w:szCs w:val="20"/>
          <w:highlight w:val="none"/>
          <w:lang w:val="en-US" w:eastAsia="zh-CN"/>
        </w:rPr>
        <w:t xml:space="preserve">BCS4 </w:t>
      </w:r>
      <w:r>
        <w:rPr>
          <w:rFonts w:hint="eastAsia" w:ascii="Arial" w:hAnsi="Arial" w:eastAsia="宋体" w:cs="Arial"/>
          <w:b/>
          <w:bCs/>
          <w:i w:val="0"/>
          <w:iCs w:val="0"/>
          <w:color w:val="auto"/>
          <w:sz w:val="20"/>
          <w:szCs w:val="20"/>
          <w:highlight w:val="none"/>
          <w:lang w:val="en-US" w:eastAsia="zh-CN" w:bidi="ar-SA"/>
        </w:rPr>
        <w:t>configurations in configurations tables in the 38.101-1 (clause 5.5A.3.1) and TS38.101-3(clause 5.5A.1). The templates in Table 1-4 and Table 1-6 without SCS column</w:t>
      </w:r>
      <w:r>
        <w:rPr>
          <w:rFonts w:hint="eastAsia" w:ascii="Arial" w:hAnsi="Arial" w:eastAsia="宋体" w:cs="Arial"/>
          <w:i w:val="0"/>
          <w:iCs w:val="0"/>
          <w:color w:val="auto"/>
          <w:sz w:val="20"/>
          <w:szCs w:val="20"/>
          <w:highlight w:val="none"/>
          <w:lang w:val="en-US" w:eastAsia="zh-CN" w:bidi="ar-SA"/>
        </w:rPr>
        <w:t xml:space="preserve"> </w:t>
      </w:r>
      <w:r>
        <w:rPr>
          <w:rFonts w:hint="eastAsia" w:ascii="Arial" w:hAnsi="Arial" w:eastAsia="宋体" w:cs="Arial"/>
          <w:b/>
          <w:bCs/>
          <w:i w:val="0"/>
          <w:iCs w:val="0"/>
          <w:color w:val="auto"/>
          <w:sz w:val="20"/>
          <w:szCs w:val="20"/>
          <w:highlight w:val="none"/>
          <w:lang w:val="en-US" w:eastAsia="zh-CN" w:bidi="ar-SA"/>
        </w:rPr>
        <w:t>can be applied.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eastAsia" w:eastAsia="宋体" w:cs="Arial"/>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 xml:space="preserve">In this contribution, we provide some templates for BCS4 </w:t>
      </w:r>
      <w:r>
        <w:rPr>
          <w:rFonts w:hint="default" w:ascii="Arial" w:hAnsi="Arial" w:cs="Arial"/>
          <w:b w:val="0"/>
          <w:bCs/>
          <w:color w:val="auto"/>
          <w:sz w:val="20"/>
          <w:szCs w:val="20"/>
        </w:rPr>
        <w:t>conf</w:t>
      </w:r>
      <w:r>
        <w:rPr>
          <w:rFonts w:hint="default" w:ascii="Arial" w:hAnsi="Arial" w:eastAsia="宋体" w:cs="Arial"/>
          <w:i w:val="0"/>
          <w:iCs w:val="0"/>
          <w:color w:val="auto"/>
          <w:sz w:val="20"/>
          <w:szCs w:val="20"/>
          <w:highlight w:val="none"/>
          <w:lang w:val="en-US" w:eastAsia="zh-CN" w:bidi="ar-SA"/>
        </w:rPr>
        <w:t>iguration</w:t>
      </w:r>
      <w:r>
        <w:rPr>
          <w:rFonts w:hint="eastAsia" w:ascii="Arial" w:hAnsi="Arial" w:eastAsia="宋体" w:cs="Arial"/>
          <w:i w:val="0"/>
          <w:iCs w:val="0"/>
          <w:color w:val="auto"/>
          <w:sz w:val="20"/>
          <w:szCs w:val="20"/>
          <w:highlight w:val="none"/>
          <w:lang w:val="en-US" w:eastAsia="zh-CN" w:bidi="ar-SA"/>
        </w:rPr>
        <w:t>s for inter-band NR CA, including combination requesting, TP/draft CR and rapporteur CR.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 xml:space="preserve">Proposal 1. Using the templates in Table 1-3 and Table 1-4, Table 1-5 and Table 1-6 for xUL/2DL and 1UL/3DL&amp;/2UL/3DL NR CA/DC BCS4 band combination configurations requesting, respectively.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2. For the same band combination, in case of both BCS0/1/2/3 and BCS4 are existed in the WID, TP and draft CRs for BCS4 is enough, and BCS0/1/2/3 combinations are completed by default after BCS4 combinations TP/draft CR are approved.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3. I</w:t>
      </w:r>
      <w:r>
        <w:rPr>
          <w:rFonts w:hint="eastAsia" w:ascii="Arial" w:hAnsi="Arial" w:eastAsia="宋体" w:cs="Arial"/>
          <w:b/>
          <w:bCs/>
          <w:i w:val="0"/>
          <w:caps w:val="0"/>
          <w:color w:val="auto"/>
          <w:spacing w:val="0"/>
          <w:sz w:val="20"/>
          <w:szCs w:val="20"/>
          <w:highlight w:val="none"/>
          <w:shd w:val="clear"/>
          <w:lang w:val="en-US" w:eastAsia="zh-CN"/>
        </w:rPr>
        <w:t xml:space="preserve">t is needed to include </w:t>
      </w:r>
      <w:r>
        <w:rPr>
          <w:rFonts w:hint="eastAsia" w:ascii="Arial" w:hAnsi="Arial" w:eastAsia="宋体" w:cs="Arial"/>
          <w:b/>
          <w:bCs/>
          <w:i w:val="0"/>
          <w:iCs w:val="0"/>
          <w:color w:val="auto"/>
          <w:sz w:val="20"/>
          <w:szCs w:val="20"/>
          <w:highlight w:val="none"/>
          <w:lang w:val="en-US" w:eastAsia="zh-CN"/>
        </w:rPr>
        <w:t xml:space="preserve">BCS4 </w:t>
      </w:r>
      <w:r>
        <w:rPr>
          <w:rFonts w:hint="eastAsia" w:ascii="Arial" w:hAnsi="Arial" w:eastAsia="宋体" w:cs="Arial"/>
          <w:b/>
          <w:bCs/>
          <w:i w:val="0"/>
          <w:iCs w:val="0"/>
          <w:color w:val="auto"/>
          <w:sz w:val="20"/>
          <w:szCs w:val="20"/>
          <w:highlight w:val="none"/>
          <w:lang w:val="en-US" w:eastAsia="zh-CN" w:bidi="ar-SA"/>
        </w:rPr>
        <w:t>configurations in configurations tables in the 38.101-1 (clause 5.5A.3.1) and TS38.101-3(clause 5.5A.1). The templates in Table 1-4 and Table 1-6 without SCS column can be applied.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[1] RP-202832 New WID: Introduction of bandwidth combination set 4 (BCS4) for NR, Ericsson, T-Mobile USA</w:t>
      </w:r>
    </w:p>
    <w:p>
      <w:pPr>
        <w:keepNext/>
        <w:pageBreakBefore w:val="0"/>
        <w:kinsoku/>
        <w:wordWrap/>
        <w:overflowPunct/>
        <w:topLinePunct w:val="0"/>
        <w:autoSpaceDE/>
        <w:autoSpaceDN/>
        <w:bidi w:val="0"/>
        <w:adjustRightInd/>
        <w:snapToGrid/>
        <w:spacing w:after="120"/>
        <w:ind w:left="1985" w:hanging="1985"/>
        <w:textAlignment w:val="auto"/>
        <w:rPr>
          <w:rFonts w:hint="eastAsia"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w:t>
      </w:r>
      <w:r>
        <w:rPr>
          <w:rFonts w:hint="eastAsia" w:ascii="Arial" w:hAnsi="Arial" w:eastAsia="宋体" w:cs="Arial"/>
          <w:b w:val="0"/>
          <w:bCs w:val="0"/>
          <w:color w:val="auto"/>
          <w:sz w:val="18"/>
          <w:szCs w:val="18"/>
          <w:highlight w:val="none"/>
          <w:vertAlign w:val="baseline"/>
          <w:lang w:val="en-US" w:eastAsia="zh-CN"/>
        </w:rPr>
        <w:t>2</w:t>
      </w:r>
      <w:r>
        <w:rPr>
          <w:rFonts w:hint="default" w:ascii="Arial" w:hAnsi="Arial" w:eastAsia="宋体" w:cs="Arial"/>
          <w:b w:val="0"/>
          <w:bCs w:val="0"/>
          <w:color w:val="auto"/>
          <w:sz w:val="18"/>
          <w:szCs w:val="18"/>
          <w:highlight w:val="none"/>
          <w:vertAlign w:val="baseline"/>
          <w:lang w:val="en-US" w:eastAsia="zh-CN"/>
        </w:rPr>
        <w:t>] R4-201</w:t>
      </w:r>
      <w:r>
        <w:rPr>
          <w:rFonts w:hint="eastAsia" w:ascii="Arial" w:hAnsi="Arial" w:eastAsia="宋体" w:cs="Arial"/>
          <w:b w:val="0"/>
          <w:bCs w:val="0"/>
          <w:color w:val="auto"/>
          <w:sz w:val="18"/>
          <w:szCs w:val="18"/>
          <w:highlight w:val="none"/>
          <w:vertAlign w:val="baseline"/>
          <w:lang w:val="en-US" w:eastAsia="zh-CN"/>
        </w:rPr>
        <w:t>6453</w:t>
      </w:r>
      <w:r>
        <w:rPr>
          <w:rFonts w:hint="default"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An alternative to creating new BCSs</w:t>
      </w:r>
      <w:r>
        <w:rPr>
          <w:rFonts w:hint="eastAsia"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T-Mobile USA,</w:t>
      </w:r>
      <w:r>
        <w:rPr>
          <w:rFonts w:hint="eastAsia" w:ascii="Arial" w:hAnsi="Arial" w:eastAsia="宋体" w:cs="Arial"/>
          <w:b w:val="0"/>
          <w:bCs w:val="0"/>
          <w:color w:val="auto"/>
          <w:sz w:val="18"/>
          <w:szCs w:val="18"/>
          <w:highlight w:val="none"/>
          <w:vertAlign w:val="baseline"/>
          <w:lang w:val="en-US" w:eastAsia="zh-CN"/>
        </w:rPr>
        <w:t xml:space="preserve"> etc.</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118A4"/>
    <w:rsid w:val="01611FF3"/>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A25C1"/>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63299"/>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1CF2"/>
    <w:rsid w:val="0AA27AC1"/>
    <w:rsid w:val="0AA36735"/>
    <w:rsid w:val="0AA738E8"/>
    <w:rsid w:val="0AAA4BCB"/>
    <w:rsid w:val="0AAC5BDF"/>
    <w:rsid w:val="0AB07F15"/>
    <w:rsid w:val="0AB11671"/>
    <w:rsid w:val="0AB2374D"/>
    <w:rsid w:val="0ABB622B"/>
    <w:rsid w:val="0ABD2945"/>
    <w:rsid w:val="0ABD5EB4"/>
    <w:rsid w:val="0ABE01DC"/>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23012"/>
    <w:rsid w:val="0B1C4BBB"/>
    <w:rsid w:val="0B1F01C1"/>
    <w:rsid w:val="0B2110B3"/>
    <w:rsid w:val="0B300128"/>
    <w:rsid w:val="0B311459"/>
    <w:rsid w:val="0B3171CB"/>
    <w:rsid w:val="0B3276E8"/>
    <w:rsid w:val="0B354623"/>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44EE9"/>
    <w:rsid w:val="0BE7693E"/>
    <w:rsid w:val="0BEB39E4"/>
    <w:rsid w:val="0BF00B65"/>
    <w:rsid w:val="0BF33C47"/>
    <w:rsid w:val="0C0E4E46"/>
    <w:rsid w:val="0C131F97"/>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9448C"/>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7889"/>
    <w:rsid w:val="0F2604D0"/>
    <w:rsid w:val="0F266366"/>
    <w:rsid w:val="0F286098"/>
    <w:rsid w:val="0F2C209F"/>
    <w:rsid w:val="0F2D3557"/>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52C02"/>
    <w:rsid w:val="0F884C38"/>
    <w:rsid w:val="0F8939F9"/>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325AF"/>
    <w:rsid w:val="10945C4F"/>
    <w:rsid w:val="109520D3"/>
    <w:rsid w:val="10987768"/>
    <w:rsid w:val="109B6262"/>
    <w:rsid w:val="10AE1EA8"/>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35DD"/>
    <w:rsid w:val="111E4474"/>
    <w:rsid w:val="112103C5"/>
    <w:rsid w:val="11223E45"/>
    <w:rsid w:val="1125568E"/>
    <w:rsid w:val="1128676D"/>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75C26"/>
    <w:rsid w:val="1197723B"/>
    <w:rsid w:val="119C5BA3"/>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E6485"/>
    <w:rsid w:val="12521894"/>
    <w:rsid w:val="12550EAE"/>
    <w:rsid w:val="125577D8"/>
    <w:rsid w:val="12627A41"/>
    <w:rsid w:val="12647704"/>
    <w:rsid w:val="12663A63"/>
    <w:rsid w:val="12670745"/>
    <w:rsid w:val="126B3428"/>
    <w:rsid w:val="127B706D"/>
    <w:rsid w:val="127C1D27"/>
    <w:rsid w:val="127D11AD"/>
    <w:rsid w:val="127E7C9C"/>
    <w:rsid w:val="12822706"/>
    <w:rsid w:val="12835AED"/>
    <w:rsid w:val="128E3209"/>
    <w:rsid w:val="12A53CFF"/>
    <w:rsid w:val="12A9605F"/>
    <w:rsid w:val="12AF442E"/>
    <w:rsid w:val="12B21F52"/>
    <w:rsid w:val="12B32A37"/>
    <w:rsid w:val="12B931BE"/>
    <w:rsid w:val="12C20883"/>
    <w:rsid w:val="12CB538A"/>
    <w:rsid w:val="12CD1DC9"/>
    <w:rsid w:val="12D43973"/>
    <w:rsid w:val="12D62B58"/>
    <w:rsid w:val="12D87AC0"/>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824FC"/>
    <w:rsid w:val="14CB2138"/>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8E6DA3"/>
    <w:rsid w:val="159668BE"/>
    <w:rsid w:val="159C7418"/>
    <w:rsid w:val="15A075BE"/>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8E0630"/>
    <w:rsid w:val="16907274"/>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93D17"/>
    <w:rsid w:val="188D7FF5"/>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31EF3"/>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82B67"/>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4E5B"/>
    <w:rsid w:val="1B376F45"/>
    <w:rsid w:val="1B396C2C"/>
    <w:rsid w:val="1B3F0D59"/>
    <w:rsid w:val="1B443E81"/>
    <w:rsid w:val="1B450F52"/>
    <w:rsid w:val="1B4609E6"/>
    <w:rsid w:val="1B464AEE"/>
    <w:rsid w:val="1B466DE6"/>
    <w:rsid w:val="1B4C1107"/>
    <w:rsid w:val="1B5F4876"/>
    <w:rsid w:val="1B604F76"/>
    <w:rsid w:val="1B631195"/>
    <w:rsid w:val="1B66533F"/>
    <w:rsid w:val="1B68053E"/>
    <w:rsid w:val="1B6B3087"/>
    <w:rsid w:val="1B740741"/>
    <w:rsid w:val="1B794FC4"/>
    <w:rsid w:val="1B87058E"/>
    <w:rsid w:val="1B8B2C18"/>
    <w:rsid w:val="1B8D1521"/>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9538F"/>
    <w:rsid w:val="1C704DD8"/>
    <w:rsid w:val="1C727B26"/>
    <w:rsid w:val="1C784DDC"/>
    <w:rsid w:val="1C7C3094"/>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157E5"/>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D5BB8"/>
    <w:rsid w:val="1F9E5C18"/>
    <w:rsid w:val="1FAA09E6"/>
    <w:rsid w:val="1FAB6CD7"/>
    <w:rsid w:val="1FAE3795"/>
    <w:rsid w:val="1FAF489E"/>
    <w:rsid w:val="1FB15F08"/>
    <w:rsid w:val="1FC115AD"/>
    <w:rsid w:val="1FC70AB5"/>
    <w:rsid w:val="1FCB00B8"/>
    <w:rsid w:val="1FCB0B4F"/>
    <w:rsid w:val="1FCE3369"/>
    <w:rsid w:val="1FD06AC3"/>
    <w:rsid w:val="1FD41A09"/>
    <w:rsid w:val="1FDB3076"/>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1967"/>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39A6"/>
    <w:rsid w:val="220A6D40"/>
    <w:rsid w:val="220F4FFA"/>
    <w:rsid w:val="22114C72"/>
    <w:rsid w:val="22121E7C"/>
    <w:rsid w:val="22162C71"/>
    <w:rsid w:val="221B68C5"/>
    <w:rsid w:val="22205DFA"/>
    <w:rsid w:val="22221E14"/>
    <w:rsid w:val="22286409"/>
    <w:rsid w:val="22290D5F"/>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1CAF"/>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D5256"/>
    <w:rsid w:val="23101B7A"/>
    <w:rsid w:val="231052D0"/>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5FE40D4"/>
    <w:rsid w:val="26060D90"/>
    <w:rsid w:val="2606207D"/>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58FE"/>
    <w:rsid w:val="272B0B6C"/>
    <w:rsid w:val="272F5B33"/>
    <w:rsid w:val="27304E3B"/>
    <w:rsid w:val="273278B9"/>
    <w:rsid w:val="27350F58"/>
    <w:rsid w:val="27352C28"/>
    <w:rsid w:val="274137B8"/>
    <w:rsid w:val="27436F3A"/>
    <w:rsid w:val="27443C03"/>
    <w:rsid w:val="27453A80"/>
    <w:rsid w:val="27464C4E"/>
    <w:rsid w:val="274E24A7"/>
    <w:rsid w:val="27501448"/>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D4EF3"/>
    <w:rsid w:val="286E5E65"/>
    <w:rsid w:val="28720727"/>
    <w:rsid w:val="28731DF8"/>
    <w:rsid w:val="287F0A90"/>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C76AB"/>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90B41"/>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E3435"/>
    <w:rsid w:val="2E06618B"/>
    <w:rsid w:val="2E1931E7"/>
    <w:rsid w:val="2E1F4650"/>
    <w:rsid w:val="2E2324DF"/>
    <w:rsid w:val="2E281711"/>
    <w:rsid w:val="2E3656F1"/>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A49A8"/>
    <w:rsid w:val="31BD3F4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11E51"/>
    <w:rsid w:val="330438C3"/>
    <w:rsid w:val="330745A8"/>
    <w:rsid w:val="33076F74"/>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8C7E79"/>
    <w:rsid w:val="33915561"/>
    <w:rsid w:val="33952B15"/>
    <w:rsid w:val="33953748"/>
    <w:rsid w:val="339D641B"/>
    <w:rsid w:val="339F747C"/>
    <w:rsid w:val="33A06ADA"/>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5FD54A1"/>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B2F82"/>
    <w:rsid w:val="3803718F"/>
    <w:rsid w:val="38091FFF"/>
    <w:rsid w:val="3809520B"/>
    <w:rsid w:val="380F6701"/>
    <w:rsid w:val="38124A9D"/>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88709C"/>
    <w:rsid w:val="38934774"/>
    <w:rsid w:val="389970CB"/>
    <w:rsid w:val="389D435C"/>
    <w:rsid w:val="38A33F35"/>
    <w:rsid w:val="38AA3E53"/>
    <w:rsid w:val="38AB3864"/>
    <w:rsid w:val="38AE6A06"/>
    <w:rsid w:val="38B26579"/>
    <w:rsid w:val="38B73B4E"/>
    <w:rsid w:val="38C15CD1"/>
    <w:rsid w:val="38C167A3"/>
    <w:rsid w:val="38CC71AC"/>
    <w:rsid w:val="38CD20AE"/>
    <w:rsid w:val="38D111F2"/>
    <w:rsid w:val="38D866AB"/>
    <w:rsid w:val="38DF7E59"/>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E133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A04307"/>
    <w:rsid w:val="39A703A5"/>
    <w:rsid w:val="39AD2665"/>
    <w:rsid w:val="39C00132"/>
    <w:rsid w:val="39C00658"/>
    <w:rsid w:val="39C34A83"/>
    <w:rsid w:val="39C74E2D"/>
    <w:rsid w:val="39C876AA"/>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D3FFB"/>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320EF"/>
    <w:rsid w:val="3C4C3D85"/>
    <w:rsid w:val="3C4D6B5C"/>
    <w:rsid w:val="3C4F0273"/>
    <w:rsid w:val="3C5532AC"/>
    <w:rsid w:val="3C570BF0"/>
    <w:rsid w:val="3C5775B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259B2"/>
    <w:rsid w:val="3CDF6131"/>
    <w:rsid w:val="3CE93697"/>
    <w:rsid w:val="3CED1A87"/>
    <w:rsid w:val="3CEF5108"/>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B658B"/>
    <w:rsid w:val="3D5D4227"/>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75BE0"/>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73F04"/>
    <w:rsid w:val="432A6812"/>
    <w:rsid w:val="432A7A55"/>
    <w:rsid w:val="4331599B"/>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0793B"/>
    <w:rsid w:val="43B16182"/>
    <w:rsid w:val="43B16C55"/>
    <w:rsid w:val="43B23333"/>
    <w:rsid w:val="43BA13D1"/>
    <w:rsid w:val="43BB11FD"/>
    <w:rsid w:val="43BD2FE6"/>
    <w:rsid w:val="43C0251E"/>
    <w:rsid w:val="43C116FF"/>
    <w:rsid w:val="43C157EF"/>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63A3C"/>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297F"/>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615E3"/>
    <w:rsid w:val="466D0B7B"/>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4C0B"/>
    <w:rsid w:val="47ED5F46"/>
    <w:rsid w:val="47F16CDC"/>
    <w:rsid w:val="47F53576"/>
    <w:rsid w:val="47F55249"/>
    <w:rsid w:val="47F64590"/>
    <w:rsid w:val="47F71CF4"/>
    <w:rsid w:val="47F835F6"/>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878D9"/>
    <w:rsid w:val="485F4663"/>
    <w:rsid w:val="485F70FF"/>
    <w:rsid w:val="48617739"/>
    <w:rsid w:val="48635EB3"/>
    <w:rsid w:val="486A2830"/>
    <w:rsid w:val="486C5614"/>
    <w:rsid w:val="486C6A8A"/>
    <w:rsid w:val="486D0C80"/>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492F58"/>
    <w:rsid w:val="4A504178"/>
    <w:rsid w:val="4A5A08CA"/>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57047"/>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62E10"/>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3F1A69"/>
    <w:rsid w:val="4B405B8A"/>
    <w:rsid w:val="4B4543C5"/>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87A47"/>
    <w:rsid w:val="4BA42BD9"/>
    <w:rsid w:val="4BAE122E"/>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B477A0"/>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45455"/>
    <w:rsid w:val="4F672CB5"/>
    <w:rsid w:val="4F6A6CEF"/>
    <w:rsid w:val="4F6B2E6E"/>
    <w:rsid w:val="4F6E728A"/>
    <w:rsid w:val="4F6F6123"/>
    <w:rsid w:val="4F735BC9"/>
    <w:rsid w:val="4F737237"/>
    <w:rsid w:val="4F79638C"/>
    <w:rsid w:val="4F805BCB"/>
    <w:rsid w:val="4F817618"/>
    <w:rsid w:val="4F820D83"/>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835C1"/>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874EA"/>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15017"/>
    <w:rsid w:val="52B27F37"/>
    <w:rsid w:val="52C3312F"/>
    <w:rsid w:val="52C41E43"/>
    <w:rsid w:val="52C67BF1"/>
    <w:rsid w:val="52CB35C3"/>
    <w:rsid w:val="52D26F48"/>
    <w:rsid w:val="52D368B4"/>
    <w:rsid w:val="52D6571E"/>
    <w:rsid w:val="52D7371E"/>
    <w:rsid w:val="52D834B9"/>
    <w:rsid w:val="52DA335F"/>
    <w:rsid w:val="52EC055C"/>
    <w:rsid w:val="52ED6C56"/>
    <w:rsid w:val="52F2439A"/>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57A28"/>
    <w:rsid w:val="547A5E91"/>
    <w:rsid w:val="547C6DF6"/>
    <w:rsid w:val="548A4E03"/>
    <w:rsid w:val="5492780C"/>
    <w:rsid w:val="54956E77"/>
    <w:rsid w:val="54986023"/>
    <w:rsid w:val="549D0D73"/>
    <w:rsid w:val="54AB3A01"/>
    <w:rsid w:val="54AF4B43"/>
    <w:rsid w:val="54B65383"/>
    <w:rsid w:val="54B74AF7"/>
    <w:rsid w:val="54B84FDF"/>
    <w:rsid w:val="54BA3083"/>
    <w:rsid w:val="54BF5F87"/>
    <w:rsid w:val="54C330AC"/>
    <w:rsid w:val="54C95C5D"/>
    <w:rsid w:val="54D37E2F"/>
    <w:rsid w:val="54D720E6"/>
    <w:rsid w:val="54D76B98"/>
    <w:rsid w:val="54DC1A26"/>
    <w:rsid w:val="54DE407A"/>
    <w:rsid w:val="54E95AD8"/>
    <w:rsid w:val="54F651B3"/>
    <w:rsid w:val="54F66DE2"/>
    <w:rsid w:val="55067A91"/>
    <w:rsid w:val="5514461C"/>
    <w:rsid w:val="55177AB5"/>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C5D74"/>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02466"/>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672CE"/>
    <w:rsid w:val="57EC347A"/>
    <w:rsid w:val="57EF3C6A"/>
    <w:rsid w:val="57F008BC"/>
    <w:rsid w:val="57F155CB"/>
    <w:rsid w:val="57F279DE"/>
    <w:rsid w:val="57F56E7A"/>
    <w:rsid w:val="57F91E8B"/>
    <w:rsid w:val="57FC577E"/>
    <w:rsid w:val="57FD476D"/>
    <w:rsid w:val="58024C7F"/>
    <w:rsid w:val="58064DC8"/>
    <w:rsid w:val="580B1B9C"/>
    <w:rsid w:val="580C58DD"/>
    <w:rsid w:val="5810000C"/>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82E92"/>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9F79B0"/>
    <w:rsid w:val="59A379DA"/>
    <w:rsid w:val="59AA1BC7"/>
    <w:rsid w:val="59C10669"/>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A1811"/>
    <w:rsid w:val="5AA24F1F"/>
    <w:rsid w:val="5AA45DD1"/>
    <w:rsid w:val="5AA6010C"/>
    <w:rsid w:val="5AA86E5A"/>
    <w:rsid w:val="5AAA67C9"/>
    <w:rsid w:val="5AAE12B9"/>
    <w:rsid w:val="5AB72DEF"/>
    <w:rsid w:val="5ABD5427"/>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3F5EE9"/>
    <w:rsid w:val="5C413E99"/>
    <w:rsid w:val="5C4376DC"/>
    <w:rsid w:val="5C45707D"/>
    <w:rsid w:val="5C471B1A"/>
    <w:rsid w:val="5C4E5CA1"/>
    <w:rsid w:val="5C520C5D"/>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80E96"/>
    <w:rsid w:val="5FE96661"/>
    <w:rsid w:val="5FF03685"/>
    <w:rsid w:val="5FF44B73"/>
    <w:rsid w:val="5FF70698"/>
    <w:rsid w:val="5FFC2AE4"/>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07DEC"/>
    <w:rsid w:val="60460B23"/>
    <w:rsid w:val="60475A2A"/>
    <w:rsid w:val="604B32E6"/>
    <w:rsid w:val="604F7EA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61A64"/>
    <w:rsid w:val="644A2959"/>
    <w:rsid w:val="644D7682"/>
    <w:rsid w:val="644E6CB6"/>
    <w:rsid w:val="64525DD3"/>
    <w:rsid w:val="64535672"/>
    <w:rsid w:val="64574EB1"/>
    <w:rsid w:val="64686A65"/>
    <w:rsid w:val="646A011B"/>
    <w:rsid w:val="646B3F3E"/>
    <w:rsid w:val="646D1CD3"/>
    <w:rsid w:val="6476698F"/>
    <w:rsid w:val="647B6BF9"/>
    <w:rsid w:val="647D6981"/>
    <w:rsid w:val="647E5324"/>
    <w:rsid w:val="64827BE0"/>
    <w:rsid w:val="64882E0B"/>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78C4"/>
    <w:rsid w:val="65FB591C"/>
    <w:rsid w:val="65FF726F"/>
    <w:rsid w:val="6601483B"/>
    <w:rsid w:val="6602552F"/>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7016A4B"/>
    <w:rsid w:val="67076572"/>
    <w:rsid w:val="670E396A"/>
    <w:rsid w:val="671B08CF"/>
    <w:rsid w:val="67206181"/>
    <w:rsid w:val="67243A92"/>
    <w:rsid w:val="67333E25"/>
    <w:rsid w:val="67362900"/>
    <w:rsid w:val="6737473D"/>
    <w:rsid w:val="673F566D"/>
    <w:rsid w:val="67477A3D"/>
    <w:rsid w:val="674836B0"/>
    <w:rsid w:val="674A7242"/>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BE5C41"/>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E5744A"/>
    <w:rsid w:val="68E90916"/>
    <w:rsid w:val="68EE43B5"/>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BC5C6B"/>
    <w:rsid w:val="6AC03859"/>
    <w:rsid w:val="6AC54DB6"/>
    <w:rsid w:val="6AC70E22"/>
    <w:rsid w:val="6ACD4739"/>
    <w:rsid w:val="6AD24384"/>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20ED9"/>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C328D3"/>
    <w:rsid w:val="6CC57B57"/>
    <w:rsid w:val="6CC97063"/>
    <w:rsid w:val="6CCB0028"/>
    <w:rsid w:val="6CCB0C6B"/>
    <w:rsid w:val="6CCB2D0A"/>
    <w:rsid w:val="6CCF1159"/>
    <w:rsid w:val="6CD11253"/>
    <w:rsid w:val="6CD217F1"/>
    <w:rsid w:val="6CD501EC"/>
    <w:rsid w:val="6CDB1336"/>
    <w:rsid w:val="6CDD0DF7"/>
    <w:rsid w:val="6CDE0B26"/>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C1597"/>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3AD"/>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821C53"/>
    <w:rsid w:val="6F8426D4"/>
    <w:rsid w:val="6F897F4B"/>
    <w:rsid w:val="6F8C5AA5"/>
    <w:rsid w:val="6F8F537D"/>
    <w:rsid w:val="6F94219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3177B6"/>
    <w:rsid w:val="7234447E"/>
    <w:rsid w:val="723F77B4"/>
    <w:rsid w:val="724B515A"/>
    <w:rsid w:val="72535D9A"/>
    <w:rsid w:val="725E105F"/>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418E4"/>
    <w:rsid w:val="75076022"/>
    <w:rsid w:val="750D05D3"/>
    <w:rsid w:val="750E04AA"/>
    <w:rsid w:val="750E7F2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C14F57"/>
    <w:rsid w:val="75C1696E"/>
    <w:rsid w:val="75C9614B"/>
    <w:rsid w:val="75CD7D4D"/>
    <w:rsid w:val="75D44B9C"/>
    <w:rsid w:val="75D6554E"/>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B572CD"/>
    <w:rsid w:val="78BB450B"/>
    <w:rsid w:val="78C54E82"/>
    <w:rsid w:val="78C60ED3"/>
    <w:rsid w:val="78C6582A"/>
    <w:rsid w:val="78C709C2"/>
    <w:rsid w:val="78D23B7E"/>
    <w:rsid w:val="78DD15DB"/>
    <w:rsid w:val="78DE5479"/>
    <w:rsid w:val="78E10719"/>
    <w:rsid w:val="78F14E36"/>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8E0D0A"/>
    <w:rsid w:val="7A9143C1"/>
    <w:rsid w:val="7AA62863"/>
    <w:rsid w:val="7AAB2D5F"/>
    <w:rsid w:val="7AAC38E0"/>
    <w:rsid w:val="7ABF10D1"/>
    <w:rsid w:val="7AC03E60"/>
    <w:rsid w:val="7AC36589"/>
    <w:rsid w:val="7AC743A7"/>
    <w:rsid w:val="7AD75598"/>
    <w:rsid w:val="7ADA08CB"/>
    <w:rsid w:val="7ADE7D20"/>
    <w:rsid w:val="7AE16BF9"/>
    <w:rsid w:val="7AE6530E"/>
    <w:rsid w:val="7AED67C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451BC"/>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156617"/>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B6E9F"/>
    <w:rsid w:val="7E1C7387"/>
    <w:rsid w:val="7E1D54AF"/>
    <w:rsid w:val="7E2D53BF"/>
    <w:rsid w:val="7E2F4A5F"/>
    <w:rsid w:val="7E327A15"/>
    <w:rsid w:val="7E3B51FA"/>
    <w:rsid w:val="7E3D2B8F"/>
    <w:rsid w:val="7E403F72"/>
    <w:rsid w:val="7E42756E"/>
    <w:rsid w:val="7E4854DF"/>
    <w:rsid w:val="7E514216"/>
    <w:rsid w:val="7E5B6848"/>
    <w:rsid w:val="7E665777"/>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D7418"/>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E339D"/>
    <w:rsid w:val="7F5410D4"/>
    <w:rsid w:val="7F5557C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D4EB0"/>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2021-01-15T16:27:37Z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